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9A2" w:rsidRPr="00BC79A2" w:rsidRDefault="00BC79A2" w:rsidP="00BC79A2">
      <w:pPr>
        <w:pStyle w:val="ListParagraph"/>
        <w:spacing w:line="480" w:lineRule="auto"/>
        <w:ind w:left="57"/>
        <w:jc w:val="center"/>
        <w:rPr>
          <w:rFonts w:ascii="Times New Roman" w:hAnsi="Times New Roman" w:cs="Times New Roman"/>
          <w:b/>
          <w:sz w:val="28"/>
          <w:szCs w:val="24"/>
        </w:rPr>
      </w:pPr>
      <w:r w:rsidRPr="00BC79A2">
        <w:rPr>
          <w:rFonts w:ascii="Times New Roman" w:hAnsi="Times New Roman" w:cs="Times New Roman"/>
          <w:b/>
          <w:sz w:val="24"/>
        </w:rPr>
        <w:t>Exam 1</w:t>
      </w:r>
    </w:p>
    <w:p w:rsidR="00034AAC" w:rsidRPr="004C686A" w:rsidRDefault="00034AAC" w:rsidP="00034AAC">
      <w:pPr>
        <w:pStyle w:val="ListParagraph"/>
        <w:numPr>
          <w:ilvl w:val="0"/>
          <w:numId w:val="1"/>
        </w:numPr>
        <w:spacing w:line="480" w:lineRule="auto"/>
        <w:ind w:left="57"/>
        <w:jc w:val="center"/>
        <w:rPr>
          <w:rFonts w:ascii="Times New Roman" w:hAnsi="Times New Roman" w:cs="Times New Roman"/>
          <w:b/>
          <w:sz w:val="24"/>
          <w:szCs w:val="24"/>
        </w:rPr>
      </w:pPr>
      <w:r w:rsidRPr="004C686A">
        <w:rPr>
          <w:rFonts w:ascii="Times New Roman" w:hAnsi="Times New Roman" w:cs="Times New Roman"/>
          <w:b/>
          <w:sz w:val="24"/>
          <w:szCs w:val="24"/>
        </w:rPr>
        <w:t>Solutions</w:t>
      </w:r>
    </w:p>
    <w:p w:rsidR="00BC79A2" w:rsidRDefault="00034AAC" w:rsidP="00BC79A2">
      <w:pPr>
        <w:spacing w:line="480" w:lineRule="auto"/>
        <w:ind w:left="57"/>
        <w:jc w:val="both"/>
        <w:rPr>
          <w:rFonts w:ascii="Arial" w:hAnsi="Arial" w:cs="Arial"/>
          <w:color w:val="222222"/>
          <w:sz w:val="20"/>
          <w:szCs w:val="20"/>
          <w:shd w:val="clear" w:color="auto" w:fill="FFFFFF"/>
        </w:rPr>
      </w:pPr>
      <w:r w:rsidRPr="004C686A">
        <w:rPr>
          <w:rFonts w:ascii="Times New Roman" w:hAnsi="Times New Roman" w:cs="Times New Roman"/>
          <w:sz w:val="24"/>
          <w:szCs w:val="24"/>
        </w:rPr>
        <w:t>The consensus and conflict models of criminal justice. The consensus model of criminal justice suggests that society strives to maintain a harmonious social order, and social institutions cement social bonds that counteract negative criminal tendencies</w:t>
      </w:r>
      <w:r w:rsidR="00B62BB9">
        <w:rPr>
          <w:rFonts w:ascii="Times New Roman" w:hAnsi="Times New Roman" w:cs="Times New Roman"/>
          <w:sz w:val="24"/>
          <w:szCs w:val="24"/>
        </w:rPr>
        <w:t xml:space="preserve"> </w:t>
      </w:r>
      <w:r w:rsidR="006A3D48" w:rsidRPr="004C686A">
        <w:rPr>
          <w:rFonts w:ascii="Times New Roman" w:hAnsi="Times New Roman" w:cs="Times New Roman"/>
          <w:sz w:val="24"/>
          <w:szCs w:val="24"/>
        </w:rPr>
        <w:t>(</w:t>
      </w:r>
      <w:r w:rsidR="006A3D48">
        <w:rPr>
          <w:rFonts w:ascii="Arial" w:hAnsi="Arial" w:cs="Arial"/>
          <w:color w:val="222222"/>
          <w:sz w:val="20"/>
          <w:szCs w:val="20"/>
          <w:shd w:val="clear" w:color="auto" w:fill="FFFFFF"/>
        </w:rPr>
        <w:t>Wexler,</w:t>
      </w:r>
      <w:r w:rsidR="00B62BB9">
        <w:rPr>
          <w:rFonts w:ascii="Arial" w:hAnsi="Arial" w:cs="Arial"/>
          <w:color w:val="222222"/>
          <w:sz w:val="20"/>
          <w:szCs w:val="20"/>
          <w:shd w:val="clear" w:color="auto" w:fill="FFFFFF"/>
        </w:rPr>
        <w:t xml:space="preserve"> 2018). </w:t>
      </w:r>
      <w:bookmarkStart w:id="0" w:name="_GoBack"/>
      <w:bookmarkEnd w:id="0"/>
      <w:r w:rsidRPr="004C686A">
        <w:rPr>
          <w:rFonts w:ascii="Times New Roman" w:hAnsi="Times New Roman" w:cs="Times New Roman"/>
          <w:sz w:val="24"/>
          <w:szCs w:val="24"/>
        </w:rPr>
        <w:t>The foundation of consensus perspective is the assumption that societies have an inherent tendency to maintain themselves in a state of relative equilibrium through the mutually and supportive interaction of their principal institutions. Consensus theory is a sociological perspective in which social order and stability and social regulation forms the base of emphasis. Consensus theorists tend to see minority or dissident groups as troubling, given that they can upset the social structur</w:t>
      </w:r>
      <w:r w:rsidR="006A3D48">
        <w:rPr>
          <w:rFonts w:ascii="Times New Roman" w:hAnsi="Times New Roman" w:cs="Times New Roman"/>
          <w:sz w:val="24"/>
          <w:szCs w:val="24"/>
        </w:rPr>
        <w:t>e and cause unrest.</w:t>
      </w:r>
      <w:r w:rsidR="00BC79A2">
        <w:rPr>
          <w:rFonts w:ascii="Arial" w:hAnsi="Arial" w:cs="Arial"/>
          <w:color w:val="222222"/>
          <w:sz w:val="20"/>
          <w:szCs w:val="20"/>
          <w:shd w:val="clear" w:color="auto" w:fill="FFFFFF"/>
        </w:rPr>
        <w:t xml:space="preserve"> </w:t>
      </w:r>
    </w:p>
    <w:p w:rsidR="00034AAC" w:rsidRPr="004C686A" w:rsidRDefault="00034AAC" w:rsidP="00BC79A2">
      <w:pPr>
        <w:spacing w:line="480" w:lineRule="auto"/>
        <w:ind w:left="57"/>
        <w:jc w:val="center"/>
        <w:rPr>
          <w:rFonts w:ascii="Times New Roman" w:hAnsi="Times New Roman" w:cs="Times New Roman"/>
          <w:b/>
          <w:sz w:val="24"/>
          <w:szCs w:val="24"/>
        </w:rPr>
      </w:pPr>
      <w:r w:rsidRPr="004C686A">
        <w:rPr>
          <w:rFonts w:ascii="Times New Roman" w:hAnsi="Times New Roman" w:cs="Times New Roman"/>
          <w:b/>
          <w:sz w:val="24"/>
          <w:szCs w:val="24"/>
        </w:rPr>
        <w:t>Solution</w:t>
      </w:r>
    </w:p>
    <w:p w:rsidR="00034AAC" w:rsidRPr="004C686A" w:rsidRDefault="00034AAC" w:rsidP="00034AAC">
      <w:pPr>
        <w:spacing w:line="480" w:lineRule="auto"/>
        <w:ind w:left="57"/>
        <w:jc w:val="both"/>
        <w:rPr>
          <w:rFonts w:ascii="Times New Roman" w:hAnsi="Times New Roman" w:cs="Times New Roman"/>
          <w:sz w:val="24"/>
          <w:szCs w:val="24"/>
        </w:rPr>
      </w:pPr>
      <w:r w:rsidRPr="004C686A">
        <w:rPr>
          <w:rFonts w:ascii="Times New Roman" w:hAnsi="Times New Roman" w:cs="Times New Roman"/>
          <w:sz w:val="24"/>
          <w:szCs w:val="24"/>
        </w:rPr>
        <w:t>Changing demographics - The average age of the U.S. population has risen, and research shows that older people commit fewer crimes</w:t>
      </w:r>
    </w:p>
    <w:p w:rsidR="00034AAC" w:rsidRPr="004C686A" w:rsidRDefault="00034AAC" w:rsidP="00034AAC">
      <w:pPr>
        <w:spacing w:line="480" w:lineRule="auto"/>
        <w:ind w:left="57"/>
        <w:jc w:val="both"/>
        <w:rPr>
          <w:rFonts w:ascii="Times New Roman" w:hAnsi="Times New Roman" w:cs="Times New Roman"/>
          <w:sz w:val="24"/>
          <w:szCs w:val="24"/>
        </w:rPr>
      </w:pPr>
      <w:r w:rsidRPr="004C686A">
        <w:rPr>
          <w:rFonts w:ascii="Times New Roman" w:hAnsi="Times New Roman" w:cs="Times New Roman"/>
          <w:sz w:val="24"/>
          <w:szCs w:val="24"/>
        </w:rPr>
        <w:t>Less cash - Certain street crimes may be less common because Americans tend to carry less cash than in the past due to the growth of digital transactions.</w:t>
      </w:r>
    </w:p>
    <w:p w:rsidR="00E4059C" w:rsidRPr="00BC79A2" w:rsidRDefault="00034AAC" w:rsidP="00E4059C">
      <w:pPr>
        <w:tabs>
          <w:tab w:val="left" w:pos="3382"/>
        </w:tabs>
        <w:jc w:val="both"/>
      </w:pPr>
      <w:r w:rsidRPr="004C686A">
        <w:rPr>
          <w:rFonts w:ascii="Times New Roman" w:hAnsi="Times New Roman" w:cs="Times New Roman"/>
          <w:sz w:val="24"/>
          <w:szCs w:val="24"/>
        </w:rPr>
        <w:t>Private security - A significant rise in the number of private security personnel has served as an additional deterre</w:t>
      </w:r>
      <w:r w:rsidRPr="00E4059C">
        <w:rPr>
          <w:rFonts w:ascii="Times New Roman" w:hAnsi="Times New Roman" w:cs="Times New Roman"/>
          <w:sz w:val="24"/>
        </w:rPr>
        <w:t>nt</w:t>
      </w:r>
      <w:r w:rsidR="00E4059C" w:rsidRPr="00E4059C">
        <w:rPr>
          <w:rFonts w:ascii="Times New Roman" w:hAnsi="Times New Roman" w:cs="Times New Roman"/>
          <w:sz w:val="24"/>
        </w:rPr>
        <w:t xml:space="preserve"> (Carliner &amp; Hasin, 2017).</w:t>
      </w:r>
    </w:p>
    <w:p w:rsidR="00034AAC" w:rsidRPr="004C686A" w:rsidRDefault="00034AAC" w:rsidP="00034AAC">
      <w:pPr>
        <w:spacing w:line="480" w:lineRule="auto"/>
        <w:ind w:left="57"/>
        <w:jc w:val="both"/>
        <w:rPr>
          <w:rFonts w:ascii="Times New Roman" w:hAnsi="Times New Roman" w:cs="Times New Roman"/>
          <w:sz w:val="24"/>
          <w:szCs w:val="24"/>
        </w:rPr>
      </w:pPr>
    </w:p>
    <w:p w:rsidR="00034AAC" w:rsidRPr="004C686A" w:rsidRDefault="00034AAC" w:rsidP="00034AAC">
      <w:pPr>
        <w:spacing w:line="480" w:lineRule="auto"/>
        <w:ind w:left="57"/>
        <w:jc w:val="both"/>
        <w:rPr>
          <w:rFonts w:ascii="Times New Roman" w:hAnsi="Times New Roman" w:cs="Times New Roman"/>
          <w:sz w:val="24"/>
          <w:szCs w:val="24"/>
        </w:rPr>
      </w:pPr>
    </w:p>
    <w:p w:rsidR="00034AAC" w:rsidRPr="004C686A" w:rsidRDefault="00034AAC" w:rsidP="00034AAC">
      <w:pPr>
        <w:pStyle w:val="ListParagraph"/>
        <w:numPr>
          <w:ilvl w:val="0"/>
          <w:numId w:val="1"/>
        </w:numPr>
        <w:spacing w:line="480" w:lineRule="auto"/>
        <w:ind w:left="57"/>
        <w:jc w:val="center"/>
        <w:rPr>
          <w:rFonts w:ascii="Times New Roman" w:hAnsi="Times New Roman" w:cs="Times New Roman"/>
          <w:b/>
          <w:sz w:val="24"/>
          <w:szCs w:val="24"/>
        </w:rPr>
      </w:pPr>
      <w:r w:rsidRPr="004C686A">
        <w:rPr>
          <w:rFonts w:ascii="Times New Roman" w:hAnsi="Times New Roman" w:cs="Times New Roman"/>
          <w:b/>
          <w:sz w:val="24"/>
          <w:szCs w:val="24"/>
        </w:rPr>
        <w:t>Solution</w:t>
      </w:r>
    </w:p>
    <w:p w:rsidR="00034AAC" w:rsidRPr="009345F3" w:rsidRDefault="00034AAC" w:rsidP="009345F3">
      <w:pPr>
        <w:spacing w:line="480" w:lineRule="auto"/>
        <w:jc w:val="both"/>
        <w:rPr>
          <w:rFonts w:ascii="Times New Roman" w:hAnsi="Times New Roman" w:cs="Times New Roman"/>
          <w:sz w:val="24"/>
        </w:rPr>
      </w:pPr>
      <w:r w:rsidRPr="009345F3">
        <w:rPr>
          <w:rFonts w:ascii="Times New Roman" w:hAnsi="Times New Roman" w:cs="Times New Roman"/>
          <w:sz w:val="24"/>
        </w:rPr>
        <w:lastRenderedPageBreak/>
        <w:t>Insanity describes severe conditions involving psychotic-like breaks with reality, while Mental Illness can include both severe and milder forms of mental problems.</w:t>
      </w:r>
    </w:p>
    <w:p w:rsidR="00034AAC" w:rsidRPr="009345F3" w:rsidRDefault="00034AAC" w:rsidP="009345F3">
      <w:pPr>
        <w:spacing w:line="480" w:lineRule="auto"/>
        <w:jc w:val="both"/>
        <w:rPr>
          <w:rFonts w:ascii="Times New Roman" w:hAnsi="Times New Roman" w:cs="Times New Roman"/>
          <w:sz w:val="24"/>
        </w:rPr>
      </w:pPr>
      <w:proofErr w:type="spellStart"/>
      <w:r w:rsidRPr="009345F3">
        <w:rPr>
          <w:rFonts w:ascii="Times New Roman" w:hAnsi="Times New Roman" w:cs="Times New Roman"/>
          <w:sz w:val="24"/>
        </w:rPr>
        <w:t>M’Naghten</w:t>
      </w:r>
      <w:proofErr w:type="spellEnd"/>
      <w:r w:rsidRPr="009345F3">
        <w:rPr>
          <w:rFonts w:ascii="Times New Roman" w:hAnsi="Times New Roman" w:cs="Times New Roman"/>
          <w:sz w:val="24"/>
        </w:rPr>
        <w:t xml:space="preserve"> Insanity Defense- is cognitive and focuses on the defendant’s awareness, rather than the ability to control conduct</w:t>
      </w:r>
    </w:p>
    <w:p w:rsidR="00034AAC" w:rsidRPr="009345F3" w:rsidRDefault="00034AAC" w:rsidP="009345F3">
      <w:pPr>
        <w:spacing w:line="480" w:lineRule="auto"/>
        <w:jc w:val="both"/>
        <w:rPr>
          <w:rFonts w:ascii="Times New Roman" w:hAnsi="Times New Roman" w:cs="Times New Roman"/>
          <w:sz w:val="24"/>
        </w:rPr>
      </w:pPr>
      <w:r w:rsidRPr="009345F3">
        <w:rPr>
          <w:rFonts w:ascii="Times New Roman" w:hAnsi="Times New Roman" w:cs="Times New Roman"/>
          <w:sz w:val="24"/>
        </w:rPr>
        <w:t>Irresistible impulse defense - focus is on the defendant’s awareness (cognitive) and the defendant’s will (ability to control conduct)</w:t>
      </w:r>
    </w:p>
    <w:p w:rsidR="00BC79A2" w:rsidRPr="009345F3" w:rsidRDefault="00034AAC" w:rsidP="009345F3">
      <w:pPr>
        <w:spacing w:line="480" w:lineRule="auto"/>
        <w:jc w:val="both"/>
        <w:rPr>
          <w:rFonts w:ascii="Times New Roman" w:hAnsi="Times New Roman" w:cs="Times New Roman"/>
          <w:sz w:val="24"/>
        </w:rPr>
      </w:pPr>
      <w:r w:rsidRPr="009345F3">
        <w:rPr>
          <w:rFonts w:ascii="Times New Roman" w:hAnsi="Times New Roman" w:cs="Times New Roman"/>
          <w:sz w:val="24"/>
        </w:rPr>
        <w:t>Substantial capacity test - A person</w:t>
      </w:r>
      <w:r w:rsidRPr="009345F3">
        <w:rPr>
          <w:rFonts w:ascii="Times New Roman" w:hAnsi="Times New Roman" w:cs="Times New Roman"/>
          <w:sz w:val="28"/>
        </w:rPr>
        <w:t xml:space="preserve"> </w:t>
      </w:r>
      <w:r w:rsidRPr="009345F3">
        <w:rPr>
          <w:rFonts w:ascii="Times New Roman" w:hAnsi="Times New Roman" w:cs="Times New Roman"/>
          <w:sz w:val="24"/>
        </w:rPr>
        <w:t>is not responsible for criminal conduct if at the time of such conduct as a result of mental disease or defect he lacks substantial capacity either to appreciate the criminality [wrongfulness] of his conduct or to conform his conduct to the requirements of law</w:t>
      </w:r>
      <w:r w:rsidR="009345F3" w:rsidRPr="009345F3">
        <w:rPr>
          <w:rFonts w:ascii="Times New Roman" w:hAnsi="Times New Roman" w:cs="Times New Roman"/>
          <w:sz w:val="24"/>
        </w:rPr>
        <w:t>’</w:t>
      </w:r>
    </w:p>
    <w:p w:rsidR="00BC79A2" w:rsidRPr="009345F3" w:rsidRDefault="009345F3" w:rsidP="009345F3">
      <w:pPr>
        <w:spacing w:line="480" w:lineRule="auto"/>
        <w:jc w:val="both"/>
        <w:rPr>
          <w:rFonts w:ascii="Times New Roman" w:hAnsi="Times New Roman" w:cs="Times New Roman"/>
          <w:sz w:val="24"/>
        </w:rPr>
      </w:pPr>
      <w:r w:rsidRPr="009345F3">
        <w:rPr>
          <w:rFonts w:ascii="Times New Roman" w:hAnsi="Times New Roman" w:cs="Times New Roman"/>
          <w:sz w:val="24"/>
        </w:rPr>
        <w:t xml:space="preserve">The insanity defense is brought up under 1% of lawful offense cases and is fruitful in just a small part of those. By far, most effective cases result from a supplication understanding in which the arraignment and the guard consent to a not liable on account of a craziness (NGRI) request. Simultaneously, a respondent who gets a GBMI decision is condemned similarly as though one was seen as liable. The court at that point decides if and how much he requires treatment for psychological maladjustment. When, and if, the litigant is considered "restored" of his dysfunctional behavior, he is needed to serve out the remainder of his sentence, not at all like a madness safeguard absolved who might be delivered from mental responsibility whenever he is considered to be not, at this point risky </w:t>
      </w:r>
      <w:hyperlink r:id="rId7" w:history="1">
        <w:r w:rsidRPr="006A3D48">
          <w:rPr>
            <w:rStyle w:val="Hyperlink"/>
            <w:rFonts w:ascii="Times New Roman" w:hAnsi="Times New Roman" w:cs="Times New Roman"/>
            <w:sz w:val="24"/>
          </w:rPr>
          <w:t>(</w:t>
        </w:r>
        <w:proofErr w:type="spellStart"/>
        <w:r w:rsidRPr="006A3D48">
          <w:rPr>
            <w:rStyle w:val="Hyperlink"/>
            <w:rFonts w:ascii="Times New Roman" w:hAnsi="Times New Roman" w:cs="Times New Roman"/>
            <w:sz w:val="24"/>
          </w:rPr>
          <w:t>Umphres</w:t>
        </w:r>
        <w:proofErr w:type="spellEnd"/>
        <w:r w:rsidRPr="006A3D48">
          <w:rPr>
            <w:rStyle w:val="Hyperlink"/>
            <w:rFonts w:ascii="Times New Roman" w:hAnsi="Times New Roman" w:cs="Times New Roman"/>
            <w:sz w:val="24"/>
          </w:rPr>
          <w:t>, 2017).</w:t>
        </w:r>
      </w:hyperlink>
    </w:p>
    <w:p w:rsidR="00BC79A2" w:rsidRPr="00BC79A2" w:rsidRDefault="00BC79A2" w:rsidP="00BC79A2"/>
    <w:p w:rsidR="00BC79A2" w:rsidRPr="00BC79A2" w:rsidRDefault="00BC79A2" w:rsidP="00BC79A2"/>
    <w:p w:rsidR="00BC79A2" w:rsidRPr="00BC79A2" w:rsidRDefault="00BC79A2" w:rsidP="00BC79A2"/>
    <w:p w:rsidR="00BC79A2" w:rsidRPr="00BC79A2" w:rsidRDefault="00BC79A2" w:rsidP="00BC79A2"/>
    <w:p w:rsidR="00BC79A2" w:rsidRPr="00BC79A2" w:rsidRDefault="00BC79A2" w:rsidP="00BC79A2"/>
    <w:p w:rsidR="00BC79A2" w:rsidRPr="00BC79A2" w:rsidRDefault="00BC79A2" w:rsidP="00BC79A2"/>
    <w:p w:rsidR="00BC79A2" w:rsidRDefault="00BC79A2" w:rsidP="00BC79A2">
      <w:pPr>
        <w:tabs>
          <w:tab w:val="left" w:pos="3382"/>
        </w:tabs>
      </w:pPr>
    </w:p>
    <w:p w:rsidR="009345F3" w:rsidRDefault="009345F3" w:rsidP="00BC79A2">
      <w:pPr>
        <w:tabs>
          <w:tab w:val="left" w:pos="3382"/>
        </w:tabs>
      </w:pPr>
    </w:p>
    <w:p w:rsidR="00BC79A2" w:rsidRDefault="00BC79A2" w:rsidP="00BC79A2">
      <w:pPr>
        <w:tabs>
          <w:tab w:val="left" w:pos="3382"/>
        </w:tabs>
        <w:jc w:val="center"/>
      </w:pPr>
      <w:r>
        <w:t>Reference</w:t>
      </w:r>
    </w:p>
    <w:p w:rsidR="009345F3" w:rsidRPr="009345F3" w:rsidRDefault="009345F3" w:rsidP="009345F3">
      <w:pPr>
        <w:ind w:left="720" w:hanging="720"/>
        <w:rPr>
          <w:rFonts w:ascii="Times New Roman" w:hAnsi="Times New Roman" w:cs="Times New Roman"/>
          <w:sz w:val="24"/>
          <w:szCs w:val="24"/>
        </w:rPr>
      </w:pPr>
      <w:proofErr w:type="spellStart"/>
      <w:r w:rsidRPr="009345F3">
        <w:rPr>
          <w:rFonts w:ascii="Times New Roman" w:hAnsi="Times New Roman" w:cs="Times New Roman"/>
          <w:sz w:val="24"/>
          <w:szCs w:val="24"/>
        </w:rPr>
        <w:t>Carliner</w:t>
      </w:r>
      <w:proofErr w:type="spellEnd"/>
      <w:r w:rsidRPr="009345F3">
        <w:rPr>
          <w:rFonts w:ascii="Times New Roman" w:hAnsi="Times New Roman" w:cs="Times New Roman"/>
          <w:sz w:val="24"/>
          <w:szCs w:val="24"/>
        </w:rPr>
        <w:t>, H., Brown, Q. L., Sarvet, A. L., &amp; Hasin, D. S. (2017). Cannabis use, attitudes, and legal status in the US: a review. Preventive medicine, 104, 13-23.</w:t>
      </w:r>
    </w:p>
    <w:p w:rsidR="009345F3" w:rsidRPr="009345F3" w:rsidRDefault="009345F3" w:rsidP="009345F3">
      <w:pPr>
        <w:ind w:left="720" w:hanging="720"/>
        <w:rPr>
          <w:rFonts w:ascii="Times New Roman" w:hAnsi="Times New Roman" w:cs="Times New Roman"/>
          <w:sz w:val="24"/>
          <w:szCs w:val="24"/>
        </w:rPr>
      </w:pPr>
      <w:proofErr w:type="spellStart"/>
      <w:r w:rsidRPr="009345F3">
        <w:rPr>
          <w:rFonts w:ascii="Times New Roman" w:hAnsi="Times New Roman" w:cs="Times New Roman"/>
          <w:color w:val="222222"/>
          <w:sz w:val="24"/>
          <w:szCs w:val="24"/>
          <w:shd w:val="clear" w:color="auto" w:fill="FFFFFF"/>
        </w:rPr>
        <w:t>Umphres</w:t>
      </w:r>
      <w:proofErr w:type="spellEnd"/>
      <w:r w:rsidRPr="009345F3">
        <w:rPr>
          <w:rFonts w:ascii="Times New Roman" w:hAnsi="Times New Roman" w:cs="Times New Roman"/>
          <w:color w:val="222222"/>
          <w:sz w:val="24"/>
          <w:szCs w:val="24"/>
          <w:shd w:val="clear" w:color="auto" w:fill="FFFFFF"/>
        </w:rPr>
        <w:t>, E. (2017). Solitary Confinement: An Unethical Denial of Meaningful Due Process. </w:t>
      </w:r>
      <w:r w:rsidRPr="009345F3">
        <w:rPr>
          <w:rFonts w:ascii="Times New Roman" w:hAnsi="Times New Roman" w:cs="Times New Roman"/>
          <w:i/>
          <w:iCs/>
          <w:color w:val="222222"/>
          <w:sz w:val="24"/>
          <w:szCs w:val="24"/>
          <w:shd w:val="clear" w:color="auto" w:fill="FFFFFF"/>
        </w:rPr>
        <w:t>Geo. J. Legal Ethics</w:t>
      </w:r>
      <w:r w:rsidRPr="009345F3">
        <w:rPr>
          <w:rFonts w:ascii="Times New Roman" w:hAnsi="Times New Roman" w:cs="Times New Roman"/>
          <w:color w:val="222222"/>
          <w:sz w:val="24"/>
          <w:szCs w:val="24"/>
          <w:shd w:val="clear" w:color="auto" w:fill="FFFFFF"/>
        </w:rPr>
        <w:t>, </w:t>
      </w:r>
      <w:r w:rsidRPr="009345F3">
        <w:rPr>
          <w:rFonts w:ascii="Times New Roman" w:hAnsi="Times New Roman" w:cs="Times New Roman"/>
          <w:i/>
          <w:iCs/>
          <w:color w:val="222222"/>
          <w:sz w:val="24"/>
          <w:szCs w:val="24"/>
          <w:shd w:val="clear" w:color="auto" w:fill="FFFFFF"/>
        </w:rPr>
        <w:t>30</w:t>
      </w:r>
      <w:r w:rsidRPr="009345F3">
        <w:rPr>
          <w:rFonts w:ascii="Times New Roman" w:hAnsi="Times New Roman" w:cs="Times New Roman"/>
          <w:color w:val="222222"/>
          <w:sz w:val="24"/>
          <w:szCs w:val="24"/>
          <w:shd w:val="clear" w:color="auto" w:fill="FFFFFF"/>
        </w:rPr>
        <w:t>, 1057.</w:t>
      </w:r>
    </w:p>
    <w:p w:rsidR="009345F3" w:rsidRPr="009345F3" w:rsidRDefault="009345F3" w:rsidP="009345F3">
      <w:pPr>
        <w:ind w:left="720" w:hanging="720"/>
        <w:rPr>
          <w:rFonts w:ascii="Times New Roman" w:hAnsi="Times New Roman" w:cs="Times New Roman"/>
          <w:sz w:val="24"/>
          <w:szCs w:val="24"/>
        </w:rPr>
      </w:pPr>
      <w:r w:rsidRPr="009345F3">
        <w:rPr>
          <w:rFonts w:ascii="Times New Roman" w:hAnsi="Times New Roman" w:cs="Times New Roman"/>
          <w:sz w:val="24"/>
          <w:szCs w:val="24"/>
        </w:rPr>
        <w:t>Wexler, R. (2018). Life, liberty, and trade secrets: Intellectual property in the criminal justice system. Stan. L. Rev., 70, 1343</w:t>
      </w:r>
      <w:proofErr w:type="gramStart"/>
      <w:r w:rsidRPr="009345F3">
        <w:rPr>
          <w:rFonts w:ascii="Times New Roman" w:hAnsi="Times New Roman" w:cs="Times New Roman"/>
          <w:sz w:val="24"/>
          <w:szCs w:val="24"/>
        </w:rPr>
        <w:t>.`</w:t>
      </w:r>
      <w:proofErr w:type="gramEnd"/>
    </w:p>
    <w:sectPr w:rsidR="009345F3" w:rsidRPr="009345F3">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EDC" w:rsidRDefault="008B7EDC" w:rsidP="00034AAC">
      <w:pPr>
        <w:spacing w:after="0" w:line="240" w:lineRule="auto"/>
      </w:pPr>
      <w:r>
        <w:separator/>
      </w:r>
    </w:p>
  </w:endnote>
  <w:endnote w:type="continuationSeparator" w:id="0">
    <w:p w:rsidR="008B7EDC" w:rsidRDefault="008B7EDC" w:rsidP="00034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EDC" w:rsidRDefault="008B7EDC" w:rsidP="00034AAC">
      <w:pPr>
        <w:spacing w:after="0" w:line="240" w:lineRule="auto"/>
      </w:pPr>
      <w:r>
        <w:separator/>
      </w:r>
    </w:p>
  </w:footnote>
  <w:footnote w:type="continuationSeparator" w:id="0">
    <w:p w:rsidR="008B7EDC" w:rsidRDefault="008B7EDC" w:rsidP="00034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094099"/>
      <w:docPartObj>
        <w:docPartGallery w:val="Page Numbers (Top of Page)"/>
        <w:docPartUnique/>
      </w:docPartObj>
    </w:sdtPr>
    <w:sdtEndPr>
      <w:rPr>
        <w:noProof/>
      </w:rPr>
    </w:sdtEndPr>
    <w:sdtContent>
      <w:p w:rsidR="00034AAC" w:rsidRDefault="00034AAC">
        <w:pPr>
          <w:pStyle w:val="Header"/>
          <w:jc w:val="right"/>
        </w:pPr>
        <w:r>
          <w:fldChar w:fldCharType="begin"/>
        </w:r>
        <w:r>
          <w:instrText xml:space="preserve"> PAGE   \* MERGEFORMAT </w:instrText>
        </w:r>
        <w:r>
          <w:fldChar w:fldCharType="separate"/>
        </w:r>
        <w:r w:rsidR="00B62BB9">
          <w:rPr>
            <w:noProof/>
          </w:rPr>
          <w:t>3</w:t>
        </w:r>
        <w:r>
          <w:rPr>
            <w:noProof/>
          </w:rPr>
          <w:fldChar w:fldCharType="end"/>
        </w:r>
      </w:p>
    </w:sdtContent>
  </w:sdt>
  <w:p w:rsidR="00034AAC" w:rsidRDefault="00034A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36125A"/>
    <w:multiLevelType w:val="hybridMultilevel"/>
    <w:tmpl w:val="F3A00C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AAC"/>
    <w:rsid w:val="00034AAC"/>
    <w:rsid w:val="00523208"/>
    <w:rsid w:val="006A3D48"/>
    <w:rsid w:val="00792F67"/>
    <w:rsid w:val="008B7EDC"/>
    <w:rsid w:val="009345F3"/>
    <w:rsid w:val="00B62BB9"/>
    <w:rsid w:val="00BC79A2"/>
    <w:rsid w:val="00D70A56"/>
    <w:rsid w:val="00E008FE"/>
    <w:rsid w:val="00E4059C"/>
    <w:rsid w:val="00E54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87BC6"/>
  <w15:chartTrackingRefBased/>
  <w15:docId w15:val="{CC6D6781-A7EA-4147-BCB1-850C6ABBE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AA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4A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AAC"/>
  </w:style>
  <w:style w:type="paragraph" w:styleId="Footer">
    <w:name w:val="footer"/>
    <w:basedOn w:val="Normal"/>
    <w:link w:val="FooterChar"/>
    <w:uiPriority w:val="99"/>
    <w:unhideWhenUsed/>
    <w:rsid w:val="00034A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AAC"/>
  </w:style>
  <w:style w:type="paragraph" w:styleId="ListParagraph">
    <w:name w:val="List Paragraph"/>
    <w:basedOn w:val="Normal"/>
    <w:uiPriority w:val="34"/>
    <w:qFormat/>
    <w:rsid w:val="00034AAC"/>
    <w:pPr>
      <w:ind w:left="720"/>
      <w:contextualSpacing/>
    </w:pPr>
  </w:style>
  <w:style w:type="character" w:styleId="Hyperlink">
    <w:name w:val="Hyperlink"/>
    <w:basedOn w:val="DefaultParagraphFont"/>
    <w:uiPriority w:val="99"/>
    <w:unhideWhenUsed/>
    <w:rsid w:val="006A3D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bs.org/wgbh/pages/frontline/shows/crime/trial/faq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LIVERPOOL</dc:creator>
  <cp:keywords/>
  <dc:description/>
  <cp:lastModifiedBy>LIVERPOOL</cp:lastModifiedBy>
  <cp:revision>8</cp:revision>
  <dcterms:created xsi:type="dcterms:W3CDTF">2021-03-06T19:18:00Z</dcterms:created>
  <dcterms:modified xsi:type="dcterms:W3CDTF">2021-03-08T18:30:00Z</dcterms:modified>
</cp:coreProperties>
</file>